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Academic Assembly of Librarians</w:t>
      </w:r>
    </w:p>
    <w:p w:rsidR="00000000" w:rsidDel="00000000" w:rsidP="00000000" w:rsidRDefault="00000000" w:rsidRPr="00000000" w14:paraId="00000002">
      <w:pPr>
        <w:pageBreakBefore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Temple University</w:t>
      </w:r>
    </w:p>
    <w:p w:rsidR="00000000" w:rsidDel="00000000" w:rsidP="00000000" w:rsidRDefault="00000000" w:rsidRPr="00000000" w14:paraId="00000003">
      <w:pPr>
        <w:pageBreakBefore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 </w:t>
      </w:r>
    </w:p>
    <w:p w:rsidR="00000000" w:rsidDel="00000000" w:rsidP="00000000" w:rsidRDefault="00000000" w:rsidRPr="00000000" w14:paraId="00000004">
      <w:pPr>
        <w:pageBreakBefore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Calendars of the Processes of Contract Renewal, Regular Appointment, and Promotion</w:t>
      </w:r>
    </w:p>
    <w:p w:rsidR="00000000" w:rsidDel="00000000" w:rsidP="00000000" w:rsidRDefault="00000000" w:rsidRPr="00000000" w14:paraId="00000005">
      <w:pPr>
        <w:pageBreakBefore w:val="0"/>
        <w:jc w:val="center"/>
        <w:rPr>
          <w:rFonts w:ascii="Arial Narrow" w:cs="Arial Narrow" w:eastAsia="Arial Narrow" w:hAnsi="Arial Narrow"/>
          <w:b w:val="1"/>
          <w:sz w:val="36"/>
          <w:szCs w:val="36"/>
          <w:highlight w:val="white"/>
        </w:rPr>
      </w:pPr>
      <w:r w:rsidDel="00000000" w:rsidR="00000000" w:rsidRPr="00000000">
        <w:rPr>
          <w:rFonts w:ascii="Arial Narrow" w:cs="Arial Narrow" w:eastAsia="Arial Narrow" w:hAnsi="Arial Narrow"/>
          <w:b w:val="1"/>
          <w:sz w:val="36"/>
          <w:szCs w:val="36"/>
          <w:highlight w:val="white"/>
          <w:rtl w:val="0"/>
        </w:rPr>
        <w:t xml:space="preserve">2021/2022</w:t>
      </w:r>
    </w:p>
    <w:p w:rsidR="00000000" w:rsidDel="00000000" w:rsidP="00000000" w:rsidRDefault="00000000" w:rsidRPr="00000000" w14:paraId="00000006">
      <w:pPr>
        <w:pageBreakBefore w:val="0"/>
        <w:jc w:val="center"/>
        <w:rPr>
          <w:rFonts w:ascii="Arial Narrow" w:cs="Arial Narrow" w:eastAsia="Arial Narrow" w:hAnsi="Arial Narrow"/>
          <w:b w:val="1"/>
          <w:sz w:val="36"/>
          <w:szCs w:val="36"/>
          <w:highlight w:val="yellow"/>
        </w:rPr>
      </w:pPr>
      <w:r w:rsidDel="00000000" w:rsidR="00000000" w:rsidRPr="00000000">
        <w:rPr>
          <w:rtl w:val="0"/>
        </w:rPr>
      </w:r>
    </w:p>
    <w:p w:rsidR="00000000" w:rsidDel="00000000" w:rsidP="00000000" w:rsidRDefault="00000000" w:rsidRPr="00000000" w14:paraId="0000000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Table of Contents</w:t>
      </w:r>
    </w:p>
    <w:p w:rsidR="00000000" w:rsidDel="00000000" w:rsidP="00000000" w:rsidRDefault="00000000" w:rsidRPr="00000000" w14:paraId="00000008">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Calendar for Contract Renewal &amp; Regular Appointment, and Promotion Processes         </w:t>
        <w:tab/>
        <w:t xml:space="preserve">2 Administration’s Calendar for Contract Renewal, Regular Appointment, and Promotion                             </w:t>
        <w:tab/>
        <w:t xml:space="preserve">3</w:t>
      </w:r>
    </w:p>
    <w:p w:rsidR="00000000" w:rsidDel="00000000" w:rsidP="00000000" w:rsidRDefault="00000000" w:rsidRPr="00000000" w14:paraId="0000000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Master PARA Calendar                                                                                                            </w:t>
        <w:tab/>
        <w:tab/>
        <w:t xml:space="preserve">4-5</w:t>
      </w:r>
    </w:p>
    <w:p w:rsidR="00000000" w:rsidDel="00000000" w:rsidP="00000000" w:rsidRDefault="00000000" w:rsidRPr="00000000" w14:paraId="0000000A">
      <w:pPr>
        <w:pageBreakBefore w:val="0"/>
        <w:jc w:val="center"/>
        <w:rPr>
          <w:sz w:val="36"/>
          <w:szCs w:val="36"/>
        </w:rPr>
      </w:pPr>
      <w:r w:rsidDel="00000000" w:rsidR="00000000" w:rsidRPr="00000000">
        <w:rPr>
          <w:sz w:val="36"/>
          <w:szCs w:val="36"/>
          <w:rtl w:val="0"/>
        </w:rPr>
        <w:t xml:space="preserve"> </w:t>
      </w:r>
    </w:p>
    <w:p w:rsidR="00000000" w:rsidDel="00000000" w:rsidP="00000000" w:rsidRDefault="00000000" w:rsidRPr="00000000" w14:paraId="0000000B">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0C">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0D">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0E">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0F">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10">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11">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12">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13">
      <w:pPr>
        <w:pageBreakBefore w:val="0"/>
        <w:rPr>
          <w:sz w:val="36"/>
          <w:szCs w:val="36"/>
        </w:rPr>
      </w:pPr>
      <w:r w:rsidDel="00000000" w:rsidR="00000000" w:rsidRPr="00000000">
        <w:rPr>
          <w:sz w:val="36"/>
          <w:szCs w:val="36"/>
          <w:rtl w:val="0"/>
        </w:rPr>
        <w:t xml:space="preserve">        </w:t>
        <w:tab/>
      </w:r>
    </w:p>
    <w:p w:rsidR="00000000" w:rsidDel="00000000" w:rsidP="00000000" w:rsidRDefault="00000000" w:rsidRPr="00000000" w14:paraId="00000014">
      <w:pPr>
        <w:pageBreakBefore w:val="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5">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16">
      <w:pPr>
        <w:pageBreakBefore w:val="0"/>
        <w:rPr>
          <w:rFonts w:ascii="Arial Narrow" w:cs="Arial Narrow" w:eastAsia="Arial Narrow" w:hAnsi="Arial Narrow"/>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CANDIDATE’S CALENDAR OF THE CONTRACT RENEWAL, REGULAR APPOINTMENT, and PROMOTION PROCESSES</w:t>
      </w:r>
    </w:p>
    <w:p w:rsidR="00000000" w:rsidDel="00000000" w:rsidP="00000000" w:rsidRDefault="00000000" w:rsidRPr="00000000" w14:paraId="00000018">
      <w:pPr>
        <w:pageBreakBefore w:val="0"/>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NOTE:</w:t>
      </w:r>
    </w:p>
    <w:p w:rsidR="00000000" w:rsidDel="00000000" w:rsidP="00000000" w:rsidRDefault="00000000" w:rsidRPr="00000000" w14:paraId="00000019">
      <w:pPr>
        <w:pageBreakBefore w:val="0"/>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This process applies to:</w:t>
      </w:r>
    </w:p>
    <w:p w:rsidR="00000000" w:rsidDel="00000000" w:rsidP="00000000" w:rsidRDefault="00000000" w:rsidRPr="00000000" w14:paraId="0000001A">
      <w:pPr>
        <w:pageBreakBefore w:val="0"/>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 librarians applying for their second and third contract</w:t>
      </w:r>
    </w:p>
    <w:p w:rsidR="00000000" w:rsidDel="00000000" w:rsidP="00000000" w:rsidRDefault="00000000" w:rsidRPr="00000000" w14:paraId="0000001B">
      <w:pPr>
        <w:pageBreakBefore w:val="0"/>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 librarians applying for regular appointment</w:t>
      </w:r>
    </w:p>
    <w:p w:rsidR="00000000" w:rsidDel="00000000" w:rsidP="00000000" w:rsidRDefault="00000000" w:rsidRPr="00000000" w14:paraId="0000001C">
      <w:pPr>
        <w:pageBreakBefore w:val="0"/>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any librarian holding the L2 rank wishing to be considered for regular appointment early</w:t>
      </w:r>
    </w:p>
    <w:p w:rsidR="00000000" w:rsidDel="00000000" w:rsidP="00000000" w:rsidRDefault="00000000" w:rsidRPr="00000000" w14:paraId="0000001D">
      <w:pPr>
        <w:pageBreakBefore w:val="0"/>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 librarians applying for promotion from L3 to L4</w:t>
      </w:r>
    </w:p>
    <w:p w:rsidR="00000000" w:rsidDel="00000000" w:rsidP="00000000" w:rsidRDefault="00000000" w:rsidRPr="00000000" w14:paraId="0000001E">
      <w:pPr>
        <w:pageBreakBefore w:val="0"/>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any librarian applying for early promotion to L3 (must be in their third year as L2)</w:t>
      </w:r>
    </w:p>
    <w:p w:rsidR="00000000" w:rsidDel="00000000" w:rsidP="00000000" w:rsidRDefault="00000000" w:rsidRPr="00000000" w14:paraId="0000001F">
      <w:pPr>
        <w:pageBreakBefore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20">
      <w:pPr>
        <w:pageBreakBefore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7935"/>
        <w:tblGridChange w:id="0">
          <w:tblGrid>
            <w:gridCol w:w="1185"/>
            <w:gridCol w:w="7935"/>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By Dec 7</w:t>
            </w:r>
          </w:p>
          <w:p w:rsidR="00000000" w:rsidDel="00000000" w:rsidP="00000000" w:rsidRDefault="00000000" w:rsidRPr="00000000" w14:paraId="00000022">
            <w:pPr>
              <w:pageBreakBefore w:val="0"/>
              <w:rPr>
                <w:rFonts w:ascii="Arial Narrow" w:cs="Arial Narrow" w:eastAsia="Arial Narrow" w:hAnsi="Arial Narrow"/>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Librarians received a letter from the Dean of Libraries indicating length of service, rank, and length of service in that rank.</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12/7/21</w:t>
            </w:r>
          </w:p>
          <w:p w:rsidR="00000000" w:rsidDel="00000000" w:rsidP="00000000" w:rsidRDefault="00000000" w:rsidRPr="00000000" w14:paraId="00000025">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notifies candidates of their consideration for contract renewal or regular appointment or promotion, and requests the names of two or more peers.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submit the names of two or more peers to PARA.</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informs selected peers of candidates for contract renewal or regular appointment and notifies them of the </w:t>
            </w:r>
            <w:r w:rsidDel="00000000" w:rsidR="00000000" w:rsidRPr="00000000">
              <w:rPr>
                <w:rFonts w:ascii="Arial Narrow" w:cs="Arial Narrow" w:eastAsia="Arial Narrow" w:hAnsi="Arial Narrow"/>
                <w:rtl w:val="0"/>
              </w:rPr>
              <w:t xml:space="preserve">February 4, 2021 </w:t>
            </w:r>
            <w:r w:rsidDel="00000000" w:rsidR="00000000" w:rsidRPr="00000000">
              <w:rPr>
                <w:rFonts w:ascii="Arial Narrow" w:cs="Arial Narrow" w:eastAsia="Arial Narrow" w:hAnsi="Arial Narrow"/>
                <w:rtl w:val="0"/>
              </w:rPr>
              <w:t xml:space="preserve">deadline to submit their statements.</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1/28/2</w:t>
            </w:r>
            <w:r w:rsidDel="00000000" w:rsidR="00000000" w:rsidRPr="00000000">
              <w:rPr>
                <w:rFonts w:ascii="Arial Narrow" w:cs="Arial Narrow" w:eastAsia="Arial Narrow" w:hAnsi="Arial Narrow"/>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for contract renewal, regular appointment and/or promotion must review and initial their personnel files and submit their documentation to PARA by this date.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Selected peers of candidates for contract renewal or regular appointment must submit their written assessments to PARA by this date.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receives a copy of PARA’s recommendations to the Dean of University Libraries.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receives a copy of the Dean’s recommendation to the Provost.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4/29</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candidate receives the written decision of the Provost.</w:t>
            </w:r>
          </w:p>
        </w:tc>
      </w:tr>
    </w:tbl>
    <w:p w:rsidR="00000000" w:rsidDel="00000000" w:rsidP="00000000" w:rsidRDefault="00000000" w:rsidRPr="00000000" w14:paraId="00000035">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36">
      <w:pPr>
        <w:pageBreakBefore w:val="0"/>
        <w:rPr>
          <w:rFonts w:ascii="Arial Narrow" w:cs="Arial Narrow" w:eastAsia="Arial Narrow" w:hAnsi="Arial Narrow"/>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ADMINISTRATION’S CALENDAR FOR CONTRACT RENEWAL, REGULAR APPOINTMENT, AND PROMOTION</w:t>
      </w:r>
    </w:p>
    <w:p w:rsidR="00000000" w:rsidDel="00000000" w:rsidP="00000000" w:rsidRDefault="00000000" w:rsidRPr="00000000" w14:paraId="00000038">
      <w:pPr>
        <w:pageBreakBefore w:val="0"/>
        <w:rPr>
          <w:sz w:val="36"/>
          <w:szCs w:val="36"/>
        </w:rPr>
      </w:pPr>
      <w:r w:rsidDel="00000000" w:rsidR="00000000" w:rsidRPr="00000000">
        <w:rPr>
          <w:sz w:val="36"/>
          <w:szCs w:val="36"/>
          <w:rtl w:val="0"/>
        </w:rPr>
        <w:t xml:space="preserve"> </w:t>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7950"/>
        <w:tblGridChange w:id="0">
          <w:tblGrid>
            <w:gridCol w:w="1170"/>
            <w:gridCol w:w="7950"/>
          </w:tblGrid>
        </w:tblGridChange>
      </w:tblGrid>
      <w:tr>
        <w:trPr>
          <w:cantSplit w:val="0"/>
          <w:trHeight w:val="7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requests from administration a list of names of librarians eligible for contract renewal, regular appointment, and promotion.</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Dean receives PARA’s memo reminding him/her of letters due to each librarian by the first of December.</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Administrative Services sends PARA the names of all librarians, the rank of each, and the date they were promoted or hired into that rank.</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informs department heads of the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rtl w:val="0"/>
              </w:rPr>
              <w:t xml:space="preserve">February 11, 2021 </w:t>
            </w:r>
            <w:r w:rsidDel="00000000" w:rsidR="00000000" w:rsidRPr="00000000">
              <w:rPr>
                <w:rFonts w:ascii="Arial Narrow" w:cs="Arial Narrow" w:eastAsia="Arial Narrow" w:hAnsi="Arial Narrow"/>
                <w:rtl w:val="0"/>
              </w:rPr>
              <w:t xml:space="preserve">deadline for additional performance evaluations.</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By Dec 7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sends every librarian a letter indicating length of service, rank, and length of service in that rank.</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1/14/2</w:t>
            </w:r>
            <w:r w:rsidDel="00000000" w:rsidR="00000000" w:rsidRPr="00000000">
              <w:rPr>
                <w:rFonts w:ascii="Arial Narrow" w:cs="Arial Narrow" w:eastAsia="Arial Narrow" w:hAnsi="Arial Narrow"/>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Office of the Dean receives a list of candidates for contract renewal, regular appointment and promotion</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delivers its recommendations to the Dean of Libraries and delivers all materials received and reviewed by the Committee to the personnel files.</w:t>
            </w:r>
          </w:p>
          <w:p w:rsidR="00000000" w:rsidDel="00000000" w:rsidP="00000000" w:rsidRDefault="00000000" w:rsidRPr="00000000" w14:paraId="0000004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sends his/her recommendations to the Provost, accompanied by the recommendations of the Committee, and informs the candidates for contract renewal or regular appointment and their supervisors, with copies to PARA, of his/her recommendations</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4/29</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receives the Provost’s decision within 25 days of receiving the Dean’s recommendations. The Dean forwards his/her copies of the Provost’s letters to the candidates’ personnel files.</w:t>
            </w:r>
          </w:p>
        </w:tc>
      </w:tr>
    </w:tbl>
    <w:p w:rsidR="00000000" w:rsidDel="00000000" w:rsidP="00000000" w:rsidRDefault="00000000" w:rsidRPr="00000000" w14:paraId="0000004C">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4D">
      <w:pPr>
        <w:pageBreakBefore w:val="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E">
      <w:pPr>
        <w:pageBreakBefore w:val="0"/>
        <w:rPr>
          <w:sz w:val="36"/>
          <w:szCs w:val="36"/>
        </w:rPr>
      </w:pPr>
      <w:r w:rsidDel="00000000" w:rsidR="00000000" w:rsidRPr="00000000">
        <w:rPr>
          <w:sz w:val="36"/>
          <w:szCs w:val="36"/>
          <w:rtl w:val="0"/>
        </w:rPr>
        <w:t xml:space="preserve"> </w:t>
      </w:r>
    </w:p>
    <w:p w:rsidR="00000000" w:rsidDel="00000000" w:rsidP="00000000" w:rsidRDefault="00000000" w:rsidRPr="00000000" w14:paraId="0000004F">
      <w:pPr>
        <w:pageBreakBefore w:val="0"/>
        <w:rPr>
          <w:rFonts w:ascii="Arial Narrow" w:cs="Arial Narrow" w:eastAsia="Arial Narrow" w:hAnsi="Arial Narrow"/>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MASTER CALENDAR</w:t>
      </w:r>
    </w:p>
    <w:p w:rsidR="00000000" w:rsidDel="00000000" w:rsidP="00000000" w:rsidRDefault="00000000" w:rsidRPr="00000000" w14:paraId="00000051">
      <w:pPr>
        <w:pageBreakBefore w:val="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 </w:t>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7965"/>
        <w:tblGridChange w:id="0">
          <w:tblGrid>
            <w:gridCol w:w="1155"/>
            <w:gridCol w:w="7965"/>
          </w:tblGrid>
        </w:tblGridChange>
      </w:tblGrid>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shd w:fill="b2b2b2" w:val="clear"/>
            <w:tcMar>
              <w:top w:w="100.0" w:type="dxa"/>
              <w:left w:w="100.0" w:type="dxa"/>
              <w:bottom w:w="100.0" w:type="dxa"/>
              <w:right w:w="100.0" w:type="dxa"/>
            </w:tcMar>
            <w:vAlign w:val="top"/>
          </w:tcPr>
          <w:p w:rsidR="00000000" w:rsidDel="00000000" w:rsidP="00000000" w:rsidRDefault="00000000" w:rsidRPr="00000000" w14:paraId="00000052">
            <w:pPr>
              <w:pageBreakBefore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GENERAL</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Mid-May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officers are elected during the regular AAL General Assembly Meeting in May.</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PARA Committee members take office.</w:t>
            </w:r>
          </w:p>
        </w:tc>
      </w:tr>
    </w:tbl>
    <w:p w:rsidR="00000000" w:rsidDel="00000000" w:rsidP="00000000" w:rsidRDefault="00000000" w:rsidRPr="00000000" w14:paraId="00000058">
      <w:pPr>
        <w:pageBreakBefore w:val="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 </w:t>
      </w:r>
    </w:p>
    <w:tbl>
      <w:tblPr>
        <w:tblStyle w:val="Table4"/>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7935"/>
        <w:tblGridChange w:id="0">
          <w:tblGrid>
            <w:gridCol w:w="1185"/>
            <w:gridCol w:w="7935"/>
          </w:tblGrid>
        </w:tblGridChange>
      </w:tblGrid>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shd w:fill="b2b2b2" w:val="clear"/>
            <w:tcMar>
              <w:top w:w="100.0" w:type="dxa"/>
              <w:left w:w="100.0" w:type="dxa"/>
              <w:bottom w:w="100.0" w:type="dxa"/>
              <w:right w:w="100.0" w:type="dxa"/>
            </w:tcMar>
            <w:vAlign w:val="top"/>
          </w:tcPr>
          <w:p w:rsidR="00000000" w:rsidDel="00000000" w:rsidP="00000000" w:rsidRDefault="00000000" w:rsidRPr="00000000" w14:paraId="00000059">
            <w:pPr>
              <w:pageBreakBefore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CONTRACT RENEWAL,REGULAR APPOINTMENT and PROMOTION PROCESSES</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requests a list of librarians eligible for contract renewal, regular appointment and promotion. (List of all professional librarians ranked L1 through L3.)</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sends memo to the Dean, reminding him/her of letters due to each librarian by </w:t>
            </w:r>
            <w:r w:rsidDel="00000000" w:rsidR="00000000" w:rsidRPr="00000000">
              <w:rPr>
                <w:rFonts w:ascii="Arial Narrow" w:cs="Arial Narrow" w:eastAsia="Arial Narrow" w:hAnsi="Arial Narrow"/>
                <w:rtl w:val="0"/>
              </w:rPr>
              <w:t xml:space="preserve">December first.</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Administrative Services sends the Dean and PARA a list of librarians eligible for contract renewal, regular appointment, and promotion including the names of all librarians, the rank of each and the date they were promoted or hired into that rank.</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Fall Semester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informs department heads of th</w:t>
            </w:r>
            <w:r w:rsidDel="00000000" w:rsidR="00000000" w:rsidRPr="00000000">
              <w:rPr>
                <w:rFonts w:ascii="Arial Narrow" w:cs="Arial Narrow" w:eastAsia="Arial Narrow" w:hAnsi="Arial Narrow"/>
                <w:rtl w:val="0"/>
              </w:rPr>
              <w:t xml:space="preserve">e February 11, 2021 </w:t>
            </w:r>
            <w:r w:rsidDel="00000000" w:rsidR="00000000" w:rsidRPr="00000000">
              <w:rPr>
                <w:rFonts w:ascii="Arial Narrow" w:cs="Arial Narrow" w:eastAsia="Arial Narrow" w:hAnsi="Arial Narrow"/>
                <w:rtl w:val="0"/>
              </w:rPr>
              <w:t xml:space="preserve">deadline for additional performance evaluations.</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By Dec 7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sends every librarian a letter indicating length of service, rank, and length of service in that rank.</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12/7/21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notifies candidates of their consideration for contract renewal/regular appointment or promotion and the </w:t>
            </w:r>
            <w:r w:rsidDel="00000000" w:rsidR="00000000" w:rsidRPr="00000000">
              <w:rPr>
                <w:rFonts w:ascii="Arial Narrow" w:cs="Arial Narrow" w:eastAsia="Arial Narrow" w:hAnsi="Arial Narrow"/>
                <w:rtl w:val="0"/>
              </w:rPr>
              <w:t xml:space="preserve">January 7</w:t>
            </w:r>
            <w:r w:rsidDel="00000000" w:rsidR="00000000" w:rsidRPr="00000000">
              <w:rPr>
                <w:rFonts w:ascii="Arial Narrow" w:cs="Arial Narrow" w:eastAsia="Arial Narrow" w:hAnsi="Arial Narrow"/>
                <w:rtl w:val="0"/>
              </w:rPr>
              <w:t xml:space="preserve"> deadline for submitting the names of two or more peers.</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1/7/22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submit the names of two or more peers to PARA.</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1/14/2</w:t>
            </w:r>
            <w:r w:rsidDel="00000000" w:rsidR="00000000" w:rsidRPr="00000000">
              <w:rPr>
                <w:rFonts w:ascii="Arial Narrow" w:cs="Arial Narrow" w:eastAsia="Arial Narrow" w:hAnsi="Arial Narrow"/>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Office of the Dean receives a list of candidates for contract renewal, regular appointment and promotion</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1/14/22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informs selected peers of candidates for contract renewal, regular appointment, promotion, and notifies them of the</w:t>
            </w:r>
            <w:r w:rsidDel="00000000" w:rsidR="00000000" w:rsidRPr="00000000">
              <w:rPr>
                <w:rFonts w:ascii="Arial Narrow" w:cs="Arial Narrow" w:eastAsia="Arial Narrow" w:hAnsi="Arial Narrow"/>
                <w:rtl w:val="0"/>
              </w:rPr>
              <w:t xml:space="preserve"> February 4 deadline</w:t>
            </w:r>
            <w:r w:rsidDel="00000000" w:rsidR="00000000" w:rsidRPr="00000000">
              <w:rPr>
                <w:rFonts w:ascii="Arial Narrow" w:cs="Arial Narrow" w:eastAsia="Arial Narrow" w:hAnsi="Arial Narrow"/>
                <w:rtl w:val="0"/>
              </w:rPr>
              <w:t xml:space="preserve">.</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1/28/22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applications are due. Candidates must have reviewed and initialed their personnel files by this date. Supervisors may begin reviewing candidates’ applications while writing evaluations, which are due by </w:t>
            </w:r>
            <w:r w:rsidDel="00000000" w:rsidR="00000000" w:rsidRPr="00000000">
              <w:rPr>
                <w:rFonts w:ascii="Arial Narrow" w:cs="Arial Narrow" w:eastAsia="Arial Narrow" w:hAnsi="Arial Narrow"/>
                <w:rtl w:val="0"/>
              </w:rPr>
              <w:t xml:space="preserve">February 11, 2021.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2/11/22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Department heads submit performance evaluations to the Dean.</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2/4/22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Selected peers of candidates for contract renewal or regular appointment must submit their written assessments to PARA.</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submits its recommendations for contract renewal or regular appointment to the Dean, with copies to the candidates.</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PARA Chairperson hand-delivers all materials received and reviewed by the Committee to the personnel files.</w:t>
            </w:r>
          </w:p>
        </w:tc>
      </w:tr>
      <w:tr>
        <w:trPr>
          <w:cantSplit w:val="0"/>
          <w:trHeight w:val="12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3/25</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Dean sends his/her recommendations to the Provost, accompanied by the recommendations of the Committee, and informs the candidates, their supervisors, with copies to PARA, of his/her recommendations (within 20 days of receipt of the recommendations from PARA).</w:t>
            </w:r>
          </w:p>
        </w:tc>
      </w:tr>
      <w:tr>
        <w:trPr>
          <w:cantSplit w:val="0"/>
          <w:trHeight w:val="12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4/29</w:t>
            </w:r>
            <w:r w:rsidDel="00000000" w:rsidR="00000000" w:rsidRPr="00000000">
              <w:rPr>
                <w:rFonts w:ascii="Arial Narrow" w:cs="Arial Narrow" w:eastAsia="Arial Narrow" w:hAnsi="Arial Narrow"/>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Provost’s decision is given in writing by this date to the individual, the Dean of University Libraries, and the Committee of the Academic Assembly, within 25 days of receiving the Dean’s recommendations, as specified in the TAUP/TU Agreement (2014-2018). The Dean forwards his/her copies of the Provost’s letters to the candidates’ personnel files.</w:t>
            </w:r>
          </w:p>
        </w:tc>
      </w:tr>
    </w:tbl>
    <w:p w:rsidR="00000000" w:rsidDel="00000000" w:rsidP="00000000" w:rsidRDefault="00000000" w:rsidRPr="00000000" w14:paraId="0000007B">
      <w:pPr>
        <w:pageBreakBefore w:val="0"/>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 </w:t>
      </w:r>
    </w:p>
    <w:p w:rsidR="00000000" w:rsidDel="00000000" w:rsidP="00000000" w:rsidRDefault="00000000" w:rsidRPr="00000000" w14:paraId="0000007C">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